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Råtjärnberget i Bjurholms kommun</w:t>
      </w:r>
    </w:p>
    <w:p>
      <w:r>
        <w:t>Detta dokument behandlar höga naturvärden i avverkningsanmälan Råtjärnberget i Bjurholms kommun. Denna avverkningsanmälan inkom 2025-07-27 och omfattar 240,4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74 naturvårdsarter hittats: aspgelélav (VU), doftticka (VU, §8), fläckporing (VU), gräddporing (VU), knärot (VU, §8), läderlappslav (VU), rynkskinn (VU), aspbarkgnagare (NT), baltiskt skogsfly (NT), barkporlav (NT), blanksvart spiklav (NT), blågrå svartspik (NT), doftskinn (NT), dvärgbägarlav (NT), gammelgransskål (NT), garnlav (NT), granticka (NT), gränsticka (NT), grå blåbärsfältmätare (NT), grön aspvedbock (NT), hornvaxskinn (NT), järpe (NT, §4), kandelabersvamp (NT), kolflarnlav (NT), kortskaftad ärgspik (NT), liten svartspik (NT), lunglav (NT), mörk kolflarnlav (NT), nordlig nållav (NT), nordtagging (NT), reliktbock (NT), rosenticka (NT), rödvingetrast (NT, §4), småflikig brosklav (NT), spillkråka (NT, §4), stiftgelélav (NT), talltita (NT, §4), tretåig hackspett (NT, §4), ullticka (NT), vedflamlav (NT), vedskivlav (NT), vedtrappmossa (NT), violettgrå tagellav (NT), vitgrynig nållav (NT), aspvedgnagare (S), barkkornlav (S), blodticka (S), bårdlav (S), dropptaggsvamp (S), dvärgtufs (S), gytterlav (S), luddlav (S), mindre märgborre (S), norrlandslav (S), nästlav (S), plattlummer (S, §9), robust tickgnagare (S), rävticka (S), skinnlav (S), spindelblomster (S, §8), spädstarr (S), stekelbock (S), stor aspticka (S), stuplav (S), traslav (S), vedticka (S), ögonpyrola (S), grönsiska (§4), kungsfågel (§4), pärluggla (§4), tjäder (§4), fläcknycklar (§8), nattviol (§8) och revlummer (§9). Av dessa är 44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35935"/>
            <wp:docPr id="1" name="Picture 1"/>
            <wp:cNvGraphicFramePr>
              <a:graphicFrameLocks noChangeAspect="1"/>
            </wp:cNvGraphicFramePr>
            <a:graphic>
              <a:graphicData uri="http://schemas.openxmlformats.org/drawingml/2006/picture">
                <pic:pic>
                  <pic:nvPicPr>
                    <pic:cNvPr id="0" name="Råtjärnberget karta.png"/>
                    <pic:cNvPicPr/>
                  </pic:nvPicPr>
                  <pic:blipFill>
                    <a:blip r:embed="rId16"/>
                    <a:stretch>
                      <a:fillRect/>
                    </a:stretch>
                  </pic:blipFill>
                  <pic:spPr>
                    <a:xfrm>
                      <a:off x="0" y="0"/>
                      <a:ext cx="5486400" cy="273593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7105841, E 677289 i SWEREF 99 TM.</w:t>
      </w:r>
    </w:p>
    <w:p>
      <w:r>
        <w:rPr>
          <w:b/>
        </w:rPr>
        <w:t>Aspbarkgnagare (NT)</w:t>
      </w:r>
      <w:r>
        <w:t xml:space="preserve">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r>
        <w:rPr>
          <w:b/>
        </w:rPr>
        <w:t>Aspgelélav (VU)</w:t>
      </w:r>
      <w:r>
        <w:t xml:space="preserve"> växer praktiskt taget enbart på asp i skog med hög luftfuktighet. Aspgelélav missgynnas vid slutavverkning. I norra Sverige hotas arten genom slutavverkning av äldre barrskog med åldriga aspar, ofta på skogsbergens sluttningar. Arten försvinner på aspar som lämnas kvar på hyggen (SLU Artdatabanken, 2024).</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Grå blåbärsfältmätare (NT)</w:t>
      </w:r>
      <w:r>
        <w:t xml:space="preserve"> har tidigare ansetts som en mycket vanlig art men har utifrån fältobservationer gått starkt tillbaka och är nu försvunnen från stora delar av södra och mellersta Sverige. Sannolikt minskar arten även i norr. Detta indikerar att arten är starkare knuten till kontinuitetsskog med stort innehåll av blåbär än man tidigare trott och den förefaller vara mycket känslig för kalhyggesbruk. Fjärilens huvudsakliga habitat är luckiga granskogar med ett välutvecklat blåbärskikt på vilket larven lever. Denna livsmiljö är hotad av kalhyggesbruket där blåbärsriset skuggas ut när den uppväxande skogen sluter sig. Minskningstakten för den svenska populationen bedöms vara nära gränsvärdet för Sårbar (VU) (SLU Artdatabanken, 2024).</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 aspvedbock (NT)</w:t>
      </w:r>
      <w:r>
        <w:t xml:space="preserve"> är en skalbagge vars larvutveckling sker under tjock bark på nyligen döda stammar och grova grenar (&gt;5 cm diameter) av lövträd, i Sverige nästan uteslutande asp. Främsta hotet är bristen på gammal aspskog. Skogsbruket har under lång tid missgynnat asp, och det är idag på många håll ovanligt med gamla lövrika skogar. Inom skogsbruket bör man spara aspar vid röjning, gallring och slutavverkning, och därmed få andelen lövskog att öka i hela skogslandskapet. Bruket att ringbarka gamla aspar för att motverka rotskott bör upphöra (SLU Artdatabanken, 2024).</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Kandelabersvamp (NT)</w:t>
      </w:r>
      <w:r>
        <w:t xml:space="preserve"> är en mycket bra signalart på skyddsvärda skogsbestånd i hela sitt utbredningsområde. Svampen indikerar sena aspsuccessioner inom områden med konstant hög luftfuktighet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Kortskaftad ärgspik (NT)</w:t>
      </w:r>
      <w:r>
        <w:t xml:space="preserve"> förekommer i barrträdsdominerade skogar och växer nästan uteslutande på tallved. Den föredrar gamla högstubbar i fuktig och halvöppen miljö, t.ex. i myrkanter, sumpskog och brandpräglad skog. Arten indikerar kontinuerlig tillgång till gamla högstubbar i kombination med hög och jämn luftfuktighet. Skogsbruk på lokaler med kortskaftad ärgspik utgör ett hot. På lång sikt bildas färre lämpliga substrat än vad som försvinner. Avverkning av barrträdsdominerade bestånd av naturskogskaraktär utgör ett långsiktigt hot. Naturskogsartade bestånd med riklig förekomst av gamla och grova tallhögstubbar bör undantas från skogsbruk (SLU Artdatabanken, 2024).</w:t>
      </w:r>
    </w:p>
    <w:p>
      <w:r>
        <w:rPr>
          <w:b/>
        </w:rPr>
        <w:t>Liten svartspik (NT)</w:t>
      </w:r>
      <w:r>
        <w:t xml:space="preserve"> växer på granbark i boreala barrskogar med lång trädkontinuitet och hög luftfuktighet. Orsaken till tillbakagången beror på främst på slutavverkningar av naturskogsartade granskogar. Bestånd med riklig förekomst av liten svartspik bör regelmässigt sparas. Naturhänsyn i samband med slutavverkning måste ske så att man undviker uttorkningseffekter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Läderlappslav (VU)</w:t>
      </w:r>
      <w:r>
        <w:t xml:space="preserve"> växer på gamla lövträd, främst lönn, rönn, asp och ask, på lokaler med hög luftfuktighet. Lämpliga lokaler bör skyddas. Tills vidare bör lokaler i skog undantas från rationell skogsskötsel (SLU Artdatabanken, 2024).</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Nordlig nållav (NT)</w:t>
      </w:r>
      <w:r>
        <w:t xml:space="preserve"> signalerar alltid miljöer med höga naturvärden. På lokalerna förekommer nästan alltid andra rödlistade eller ovanliga arter knutna till gamla skogar. Alla skogsskötselåtgärder på eller i omedelbar närhet av lokalerna utgör ett hot. Några av lavens rikaste förekomster bör skyddas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Stiftgelélav (NT)</w:t>
      </w:r>
      <w:r>
        <w:t xml:space="preserve"> växer på gamla aspar och sälgar i blandskogar med hög luftfuktighet. Slutavverkning och vedhuggning är de största hoten och lokaler bör undantas från rationell skogsskötsel. På lång sikt måste inslaget av asp öka i svensk skog (SLU Artdatabanken, 2024).</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knärot (VU, §8), järpe (NT, §4), rödvingetrast (NT, §4), spillkråka (NT, §4), talltita (NT, §4), tretåig hackspett (NT, §4), plattlummer (S, §9), spindelblomster (S, §8), grönsiska (§4), kungsfågel (§4), pärluggla (§4), tjäder (§4),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30 fyndplatser för knärot registrerade på Artportalen. Figur 2 visar gränserna för buffertzoner på 50 m, som behöver lämnas kring fyndplatserna för att knärotslokalerna inte ska försvinna vid en avverkning. Av det avverkningsanmälda området överlappar 12.05 ha med buffertzonerna och får av detta skäl inte avverkas.</w:t>
      </w:r>
    </w:p>
    <w:p>
      <w:pPr>
        <w:pStyle w:val="Caption"/>
      </w:pPr>
      <w:r>
        <w:drawing>
          <wp:inline xmlns:a="http://schemas.openxmlformats.org/drawingml/2006/main" xmlns:pic="http://schemas.openxmlformats.org/drawingml/2006/picture">
            <wp:extent cx="5486400" cy="3547872"/>
            <wp:docPr id="2" name="Picture 2"/>
            <wp:cNvGraphicFramePr>
              <a:graphicFrameLocks noChangeAspect="1"/>
            </wp:cNvGraphicFramePr>
            <a:graphic>
              <a:graphicData uri="http://schemas.openxmlformats.org/drawingml/2006/picture">
                <pic:pic>
                  <pic:nvPicPr>
                    <pic:cNvPr id="0" name="Råtjärnberget karta knärot.png"/>
                    <pic:cNvPicPr/>
                  </pic:nvPicPr>
                  <pic:blipFill>
                    <a:blip r:embed="rId17"/>
                    <a:stretch>
                      <a:fillRect/>
                    </a:stretch>
                  </pic:blipFill>
                  <pic:spPr>
                    <a:xfrm>
                      <a:off x="0" y="0"/>
                      <a:ext cx="5486400" cy="3547872"/>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7105841, E 677289 i SWEREF 99 TM.</w:t>
      </w:r>
    </w:p>
    <w:p>
      <w:pPr>
        <w:pStyle w:val="Caption"/>
      </w:pPr>
    </w:p>
    <w:p>
      <w:r>
        <w:rPr>
          <w:b/>
        </w:rPr>
        <w:t>Pärluggla (§4)</w:t>
      </w:r>
      <w:r>
        <w:t xml:space="preserve"> är beroende av äldre, varierad skog med goda jaktmöjligheter och god tillgång på lämpliga trädhål som boplatser. Hemområdet är i storleksordningen 200–500 hektar, men storleken varierar kraftigt beroende på hur mycket föda det finns. 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Pärlugglan är typisk art för Västlig taiga (9010) och omfattas av fågeldirektivets bilaga 1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67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74 naturvårdsarter varav 44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Aspbarkgnagare – ekologi samt krav på livsmiljön</w:t>
      </w:r>
    </w:p>
    <w:p>
      <w:r>
        <w:t xml:space="preserve">Aspbarkgnagare (NT)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pPr>
        <w:pStyle w:val="Heading2"/>
      </w:pPr>
      <w:r>
        <w:t>Referenser – aspbarkgnagare</w:t>
      </w:r>
    </w:p>
    <w:p>
      <w:r>
        <w:t xml:space="preserve">Naturvårdverket, 2010. </w:t>
      </w:r>
      <w:r>
        <w:rPr>
          <w:i/>
        </w:rPr>
        <w:t>Åtgärdsprogram för hotade arter på asp i Norrland 2010–2014</w:t>
      </w:r>
      <w:r>
        <w:t>. Rapport 6393. Juni 2010</w:t>
      </w:r>
    </w:p>
    <w:p>
      <w:r>
        <w:t xml:space="preserve">SLU Artdatabanken, 2024. </w:t>
      </w:r>
      <w:r>
        <w:rPr>
          <w:i/>
        </w:rPr>
        <w:t xml:space="preserve">Artfaktablad. Naturvård – artfakta. </w:t>
      </w:r>
      <w:r>
        <w:t>SLU Artdatabanken, Uppsala</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Pärluggla – ekologi samt krav på livsmiljön</w:t>
      </w:r>
    </w:p>
    <w:p>
      <w:r>
        <w:t>Pärluggla (§4) är beroende av äldre, varierad skog med goda jaktmöjligheter och god tillgång på lämpliga trädhål som boplatser. Den förekommer med störst täthet i äldre granskog, med inslag av gamla lövträd och luckor och öppningar i form av mindre hyggen, jordbruksmark och liknande. Den häckar även frekvent i barr- och lövblandskogar av tall, björk och asp, där förutsättningarna att finna boplatser är störst. I sydligaste Sverige häckar den ofta i gamla bokbackar, men den är mycket sällsynt i ren bokskog (SLU Artdatabanken, 2024).</w:t>
      </w:r>
    </w:p>
    <w:p>
      <w:r>
        <w:t>Hemområdet är i storleksordningen 200–500 hektar, men storleken varierar kraftigt beroende på hur mycket föda det finns. Under dåliga gnagarår kan pärlugglan jaga upp till 4 km från boet medan den under bra år ofta håller sig inom 1 km. Pärluggla är typisk art för Västlig taiga och omfattas av fågeldirektivets bilaga 1 (SLU Artdatabanken, 2024).</w:t>
      </w:r>
    </w:p>
    <w:p>
      <w:r>
        <w:t>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(Skogsstyrelsen, 2016).</w:t>
      </w:r>
    </w:p>
    <w:p>
      <w:pPr>
        <w:pStyle w:val="Heading2"/>
      </w:pPr>
      <w:r>
        <w:t>Referenser – pärluggla</w:t>
      </w:r>
    </w:p>
    <w:p>
      <w:r>
        <w:t xml:space="preserve">SLU Artdatabanken, 2024. </w:t>
      </w:r>
      <w:r>
        <w:rPr>
          <w:i/>
        </w:rPr>
        <w:t xml:space="preserve">Artfaktablad. Naturvård – artfakta. </w:t>
      </w:r>
      <w:r>
        <w:t>SLU Artdatabanken, Uppsala.</w:t>
      </w:r>
    </w:p>
    <w:p>
      <w:r>
        <w:t xml:space="preserve">Skogsstyrelsen, 2016. </w:t>
      </w:r>
      <w:r>
        <w:rPr>
          <w:i/>
        </w:rPr>
        <w:t>Vägledning för hänsyn till pärluggla.</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